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djustRightInd w:val="0"/>
        <w:snapToGrid w:val="0"/>
        <w:spacing w:line="560" w:lineRule="exact"/>
        <w:ind w:firstLine="720"/>
        <w:jc w:val="center"/>
        <w:outlineLvl w:val="0"/>
        <w:rPr>
          <w:rFonts w:ascii="方正小标宋简体" w:hAnsi="方正小标宋简体" w:eastAsia="方正小标宋简体" w:cs="方正小标宋简体"/>
          <w:color w:val="auto"/>
          <w:kern w:val="44"/>
          <w:sz w:val="36"/>
          <w:szCs w:val="36"/>
        </w:rPr>
      </w:pPr>
      <w:r>
        <w:rPr>
          <w:rFonts w:hint="eastAsia" w:ascii="方正小标宋简体" w:hAnsi="方正小标宋简体" w:eastAsia="方正小标宋简体" w:cs="方正小标宋简体"/>
          <w:color w:val="auto"/>
          <w:kern w:val="44"/>
          <w:sz w:val="36"/>
          <w:szCs w:val="36"/>
        </w:rPr>
        <w:t>科目五《导游服务能力》考试大纲</w:t>
      </w:r>
    </w:p>
    <w:p>
      <w:pPr>
        <w:overflowPunct w:val="0"/>
        <w:adjustRightInd w:val="0"/>
        <w:snapToGrid w:val="0"/>
        <w:spacing w:line="560" w:lineRule="exact"/>
        <w:ind w:firstLine="720"/>
        <w:jc w:val="center"/>
        <w:outlineLvl w:val="0"/>
        <w:rPr>
          <w:rFonts w:ascii="方正小标宋简体" w:hAnsi="方正小标宋简体" w:eastAsia="方正小标宋简体" w:cs="方正小标宋简体"/>
          <w:color w:val="auto"/>
          <w:kern w:val="44"/>
          <w:sz w:val="36"/>
          <w:szCs w:val="36"/>
        </w:rPr>
      </w:pPr>
      <w:r>
        <w:rPr>
          <w:rFonts w:hint="eastAsia" w:ascii="方正小标宋简体" w:hAnsi="方正小标宋简体" w:eastAsia="方正小标宋简体" w:cs="方正小标宋简体"/>
          <w:color w:val="auto"/>
          <w:kern w:val="44"/>
          <w:sz w:val="36"/>
          <w:szCs w:val="36"/>
        </w:rPr>
        <w:t>（四川省）</w:t>
      </w:r>
    </w:p>
    <w:p>
      <w:pPr>
        <w:overflowPunct w:val="0"/>
        <w:spacing w:line="560" w:lineRule="exact"/>
        <w:ind w:firstLine="420" w:firstLineChars="200"/>
        <w:rPr>
          <w:rFonts w:ascii="方正小标宋_GBK" w:hAnsi="Calibri" w:eastAsia="方正小标宋_GBK"/>
          <w:color w:val="auto"/>
          <w:sz w:val="21"/>
          <w:szCs w:val="24"/>
        </w:rPr>
      </w:pPr>
    </w:p>
    <w:p>
      <w:pPr>
        <w:overflowPunct w:val="0"/>
        <w:spacing w:line="560" w:lineRule="exact"/>
        <w:ind w:firstLine="640" w:firstLineChars="200"/>
        <w:rPr>
          <w:rFonts w:ascii="黑体" w:hAnsi="黑体" w:eastAsia="黑体"/>
          <w:color w:val="auto"/>
        </w:rPr>
      </w:pPr>
      <w:r>
        <w:rPr>
          <w:rFonts w:hint="eastAsia" w:ascii="黑体" w:hAnsi="黑体" w:eastAsia="黑体"/>
          <w:color w:val="auto"/>
        </w:rPr>
        <w:t>一、考试目的</w:t>
      </w:r>
    </w:p>
    <w:p>
      <w:pPr>
        <w:overflowPunct w:val="0"/>
        <w:spacing w:line="560" w:lineRule="exact"/>
        <w:ind w:firstLine="640" w:firstLineChars="200"/>
        <w:rPr>
          <w:rFonts w:ascii="仿宋_GB2312"/>
          <w:color w:val="auto"/>
        </w:rPr>
      </w:pPr>
      <w:r>
        <w:rPr>
          <w:rFonts w:hint="eastAsia" w:ascii="仿宋_GB2312"/>
          <w:color w:val="auto"/>
        </w:rPr>
        <w:t>通过现场考试，考查考生与导游职业、语种服务要求相对应的语言能力；考查考生是否具备导游的基本素质要求和服务能力要求，是否掌握导游服务规范及工作程序，并具备一定的应对、应变能力；考查考生对景点熟练进行导游讲解的能力。同时，要求考生对国际、国内、省内时政大事和文化旅游行业相关常识有一定了解，考查考生的知识广度和深度。</w:t>
      </w:r>
    </w:p>
    <w:p>
      <w:pPr>
        <w:overflowPunct w:val="0"/>
        <w:spacing w:line="560" w:lineRule="exact"/>
        <w:ind w:firstLine="640" w:firstLineChars="200"/>
        <w:rPr>
          <w:rFonts w:ascii="黑体" w:hAnsi="黑体" w:eastAsia="黑体"/>
          <w:color w:val="auto"/>
        </w:rPr>
      </w:pPr>
      <w:r>
        <w:rPr>
          <w:rFonts w:hint="eastAsia" w:ascii="黑体" w:hAnsi="黑体" w:eastAsia="黑体"/>
          <w:color w:val="auto"/>
        </w:rPr>
        <w:t>二</w:t>
      </w:r>
      <w:r>
        <w:rPr>
          <w:rFonts w:ascii="黑体" w:hAnsi="黑体" w:eastAsia="黑体"/>
          <w:color w:val="auto"/>
        </w:rPr>
        <w:t>、</w:t>
      </w:r>
      <w:r>
        <w:rPr>
          <w:rFonts w:hint="eastAsia" w:ascii="黑体" w:hAnsi="黑体" w:eastAsia="黑体"/>
          <w:color w:val="auto"/>
        </w:rPr>
        <w:t>考试内容</w:t>
      </w:r>
    </w:p>
    <w:p>
      <w:pPr>
        <w:numPr>
          <w:ilvl w:val="0"/>
          <w:numId w:val="1"/>
        </w:numPr>
        <w:overflowPunct w:val="0"/>
        <w:spacing w:line="560" w:lineRule="exact"/>
        <w:ind w:firstLine="640" w:firstLineChars="200"/>
        <w:rPr>
          <w:rFonts w:ascii="仿宋_GB2312"/>
          <w:color w:val="auto"/>
        </w:rPr>
      </w:pPr>
      <w:r>
        <w:rPr>
          <w:rFonts w:hint="eastAsia" w:ascii="楷体_GB2312" w:hAnsi="楷体" w:eastAsia="楷体_GB2312"/>
          <w:color w:val="auto"/>
        </w:rPr>
        <w:t>中文类考生现场考试内容</w:t>
      </w:r>
    </w:p>
    <w:p>
      <w:pPr>
        <w:overflowPunct w:val="0"/>
        <w:spacing w:line="560" w:lineRule="exact"/>
        <w:ind w:firstLine="640" w:firstLineChars="200"/>
        <w:rPr>
          <w:rFonts w:ascii="仿宋_GB2312"/>
          <w:color w:val="auto"/>
        </w:rPr>
      </w:pPr>
      <w:r>
        <w:rPr>
          <w:rFonts w:hint="eastAsia" w:ascii="仿宋_GB2312"/>
          <w:color w:val="auto"/>
        </w:rPr>
        <w:t>景点讲解、导游规范问答、应变能力问答、综合知识问答。</w:t>
      </w:r>
    </w:p>
    <w:p>
      <w:pPr>
        <w:overflowPunct w:val="0"/>
        <w:spacing w:line="560" w:lineRule="exact"/>
        <w:ind w:firstLine="640" w:firstLineChars="200"/>
        <w:rPr>
          <w:rFonts w:ascii="仿宋_GB2312"/>
          <w:color w:val="auto"/>
        </w:rPr>
      </w:pPr>
      <w:r>
        <w:rPr>
          <w:rFonts w:hint="eastAsia" w:ascii="仿宋_GB2312"/>
          <w:color w:val="auto"/>
        </w:rPr>
        <w:t>中文考生景点讲解范围（15个）：九寨沟景区、黄龙景区、峨眉山景区、乐山大佛景区、阆中古城景区、邓小平故里旅游区、剑门蜀道剑门关景区、海螺沟景区、成都大熊猫繁育研究基地景区、都江堰景区、武侯祠景区、三星堆博物馆景区、碧峰峡景区、稻城亚丁景区、光雾山</w:t>
      </w:r>
      <w:r>
        <w:rPr>
          <w:rFonts w:hint="eastAsia" w:ascii="仿宋_GB2312"/>
          <w:color w:val="auto"/>
          <w:lang w:eastAsia="zh-CN"/>
        </w:rPr>
        <w:t>景区</w:t>
      </w:r>
      <w:r>
        <w:rPr>
          <w:rFonts w:hint="eastAsia" w:ascii="仿宋_GB2312"/>
          <w:color w:val="auto"/>
        </w:rPr>
        <w:t>。</w:t>
      </w:r>
    </w:p>
    <w:p>
      <w:pPr>
        <w:numPr>
          <w:ilvl w:val="0"/>
          <w:numId w:val="1"/>
        </w:numPr>
        <w:overflowPunct w:val="0"/>
        <w:spacing w:line="560" w:lineRule="exact"/>
        <w:ind w:firstLine="640" w:firstLineChars="200"/>
        <w:rPr>
          <w:rFonts w:ascii="仿宋_GB2312"/>
          <w:color w:val="auto"/>
        </w:rPr>
      </w:pPr>
      <w:r>
        <w:rPr>
          <w:rFonts w:hint="eastAsia" w:ascii="楷体_GB2312" w:hAnsi="楷体" w:eastAsia="楷体_GB2312"/>
          <w:color w:val="auto"/>
        </w:rPr>
        <w:t>外语类考生现场考试内容</w:t>
      </w:r>
    </w:p>
    <w:p>
      <w:pPr>
        <w:overflowPunct w:val="0"/>
        <w:spacing w:line="560" w:lineRule="exact"/>
        <w:ind w:firstLine="640"/>
        <w:rPr>
          <w:rFonts w:ascii="仿宋_GB2312"/>
          <w:color w:val="auto"/>
        </w:rPr>
      </w:pPr>
      <w:r>
        <w:rPr>
          <w:rFonts w:hint="eastAsia" w:ascii="仿宋_GB2312"/>
          <w:color w:val="auto"/>
        </w:rPr>
        <w:t>用所考语种进行景点讲解、导</w:t>
      </w:r>
      <w:bookmarkStart w:id="0" w:name="_GoBack"/>
      <w:bookmarkEnd w:id="0"/>
      <w:r>
        <w:rPr>
          <w:rFonts w:hint="eastAsia" w:ascii="仿宋_GB2312"/>
          <w:color w:val="auto"/>
        </w:rPr>
        <w:t>游规范问答、应变能力问答、综合知识问答和口译测试（包括“中译外”、“外译中”）。</w:t>
      </w:r>
    </w:p>
    <w:p>
      <w:pPr>
        <w:overflowPunct w:val="0"/>
        <w:spacing w:line="560" w:lineRule="exact"/>
        <w:ind w:firstLine="640" w:firstLineChars="200"/>
        <w:rPr>
          <w:rFonts w:ascii="仿宋_GB2312"/>
          <w:color w:val="auto"/>
        </w:rPr>
      </w:pPr>
      <w:r>
        <w:rPr>
          <w:rFonts w:hint="eastAsia" w:ascii="仿宋_GB2312"/>
          <w:color w:val="auto"/>
        </w:rPr>
        <w:t>外语类考生景点讲解范围（8个）：九寨沟景区、峨眉山景区、都江堰景区、成都大熊猫繁育研究基地景区、三星堆博物馆景区、碧峰峡景区、稻城亚丁景区、光雾山</w:t>
      </w:r>
      <w:r>
        <w:rPr>
          <w:rFonts w:hint="eastAsia" w:ascii="仿宋_GB2312"/>
          <w:color w:val="auto"/>
          <w:lang w:eastAsia="zh-CN"/>
        </w:rPr>
        <w:t>景区</w:t>
      </w:r>
      <w:r>
        <w:rPr>
          <w:rFonts w:hint="eastAsia" w:ascii="仿宋_GB2312"/>
          <w:color w:val="auto"/>
        </w:rPr>
        <w:t>。</w:t>
      </w:r>
    </w:p>
    <w:p>
      <w:pPr>
        <w:overflowPunct w:val="0"/>
        <w:spacing w:line="560" w:lineRule="exact"/>
        <w:ind w:firstLine="640" w:firstLineChars="200"/>
        <w:rPr>
          <w:rFonts w:ascii="黑体" w:hAnsi="黑体" w:eastAsia="黑体"/>
          <w:color w:val="auto"/>
        </w:rPr>
      </w:pPr>
      <w:r>
        <w:rPr>
          <w:rFonts w:hint="eastAsia" w:ascii="黑体" w:hAnsi="黑体" w:eastAsia="黑体"/>
          <w:color w:val="auto"/>
        </w:rPr>
        <w:t>三、考试要素</w:t>
      </w:r>
    </w:p>
    <w:p>
      <w:pPr>
        <w:overflowPunct w:val="0"/>
        <w:spacing w:line="560" w:lineRule="exact"/>
        <w:ind w:firstLine="640" w:firstLineChars="200"/>
        <w:rPr>
          <w:rFonts w:ascii="仿宋_GB2312"/>
          <w:color w:val="auto"/>
        </w:rPr>
      </w:pPr>
      <w:r>
        <w:rPr>
          <w:rFonts w:hint="eastAsia" w:ascii="仿宋_GB2312"/>
          <w:color w:val="auto"/>
        </w:rPr>
        <w:t>主要包括七大方面，重点测试导游服务最核心的导游讲解能力。</w:t>
      </w:r>
    </w:p>
    <w:p>
      <w:pPr>
        <w:overflowPunct w:val="0"/>
        <w:spacing w:line="560" w:lineRule="exact"/>
        <w:ind w:firstLine="640" w:firstLineChars="200"/>
        <w:rPr>
          <w:rFonts w:ascii="楷体_GB2312" w:eastAsia="楷体_GB2312"/>
          <w:color w:val="auto"/>
        </w:rPr>
      </w:pPr>
      <w:r>
        <w:rPr>
          <w:rFonts w:hint="eastAsia" w:ascii="楷体_GB2312" w:eastAsia="楷体_GB2312"/>
          <w:color w:val="auto"/>
        </w:rPr>
        <w:t>（一）语言表达</w:t>
      </w:r>
    </w:p>
    <w:p>
      <w:pPr>
        <w:overflowPunct w:val="0"/>
        <w:spacing w:line="560" w:lineRule="exact"/>
        <w:ind w:firstLine="640" w:firstLineChars="200"/>
        <w:rPr>
          <w:rFonts w:ascii="仿宋_GB2312"/>
          <w:color w:val="auto"/>
        </w:rPr>
      </w:pPr>
      <w:r>
        <w:rPr>
          <w:rFonts w:hint="eastAsia" w:ascii="仿宋_GB2312"/>
          <w:color w:val="auto"/>
        </w:rPr>
        <w:t>考查考生与导游服务相对应的语言能力，包括语言表达的准确性、流畅性、逻辑性、生动性、感染力、说服力及身体语言的得体运用、语音面貌等。</w:t>
      </w:r>
    </w:p>
    <w:p>
      <w:pPr>
        <w:overflowPunct w:val="0"/>
        <w:spacing w:line="560" w:lineRule="exact"/>
        <w:ind w:firstLine="640" w:firstLineChars="200"/>
        <w:rPr>
          <w:rFonts w:ascii="楷体_GB2312" w:eastAsia="楷体_GB2312"/>
          <w:color w:val="auto"/>
        </w:rPr>
      </w:pPr>
      <w:r>
        <w:rPr>
          <w:rFonts w:hint="eastAsia" w:ascii="楷体_GB2312" w:eastAsia="楷体_GB2312"/>
          <w:color w:val="auto"/>
        </w:rPr>
        <w:t>（二）礼仪礼貌</w:t>
      </w:r>
    </w:p>
    <w:p>
      <w:pPr>
        <w:overflowPunct w:val="0"/>
        <w:spacing w:line="560" w:lineRule="exact"/>
        <w:ind w:firstLine="640" w:firstLineChars="200"/>
        <w:rPr>
          <w:rFonts w:ascii="仿宋_GB2312"/>
          <w:color w:val="auto"/>
        </w:rPr>
      </w:pPr>
      <w:r>
        <w:rPr>
          <w:rFonts w:hint="eastAsia" w:ascii="仿宋_GB2312"/>
          <w:color w:val="auto"/>
        </w:rPr>
        <w:t>考查考生的气质形象、仪容仪表和礼仪规范。</w:t>
      </w:r>
    </w:p>
    <w:p>
      <w:pPr>
        <w:overflowPunct w:val="0"/>
        <w:spacing w:line="560" w:lineRule="exact"/>
        <w:ind w:firstLine="640" w:firstLineChars="200"/>
        <w:rPr>
          <w:rFonts w:ascii="楷体_GB2312" w:eastAsia="楷体_GB2312"/>
          <w:color w:val="auto"/>
        </w:rPr>
      </w:pPr>
      <w:r>
        <w:rPr>
          <w:rFonts w:hint="eastAsia" w:ascii="楷体_GB2312" w:eastAsia="楷体_GB2312"/>
          <w:color w:val="auto"/>
        </w:rPr>
        <w:t>（三）景点讲解</w:t>
      </w:r>
    </w:p>
    <w:p>
      <w:pPr>
        <w:overflowPunct w:val="0"/>
        <w:spacing w:line="560" w:lineRule="exact"/>
        <w:ind w:firstLine="640" w:firstLineChars="200"/>
        <w:rPr>
          <w:rFonts w:ascii="仿宋_GB2312"/>
          <w:color w:val="auto"/>
        </w:rPr>
      </w:pPr>
      <w:r>
        <w:rPr>
          <w:rFonts w:hint="eastAsia" w:ascii="仿宋_GB2312"/>
          <w:color w:val="auto"/>
        </w:rPr>
        <w:t>考查考生对四川省主要景点的讲解是否符合服务规范程序，景区概况和景点讲解是否具有正确性、全面性、条理性，讲解内容是否连贯如一，逻辑清晰，方位清楚，重点突出，现场感强。</w:t>
      </w:r>
    </w:p>
    <w:p>
      <w:pPr>
        <w:overflowPunct w:val="0"/>
        <w:spacing w:line="560" w:lineRule="exact"/>
        <w:ind w:firstLine="640" w:firstLineChars="200"/>
        <w:rPr>
          <w:rFonts w:ascii="楷体_GB2312" w:eastAsia="楷体_GB2312"/>
          <w:color w:val="auto"/>
        </w:rPr>
      </w:pPr>
      <w:r>
        <w:rPr>
          <w:rFonts w:hint="eastAsia" w:ascii="楷体_GB2312" w:eastAsia="楷体_GB2312"/>
          <w:color w:val="auto"/>
        </w:rPr>
        <w:t>（四）导游规范知识</w:t>
      </w:r>
    </w:p>
    <w:p>
      <w:pPr>
        <w:overflowPunct w:val="0"/>
        <w:spacing w:line="560" w:lineRule="exact"/>
        <w:ind w:firstLine="640" w:firstLineChars="200"/>
        <w:rPr>
          <w:rFonts w:ascii="仿宋_GB2312"/>
          <w:color w:val="auto"/>
        </w:rPr>
      </w:pPr>
      <w:r>
        <w:rPr>
          <w:rFonts w:hint="eastAsia" w:ascii="仿宋_GB2312"/>
          <w:color w:val="auto"/>
        </w:rPr>
        <w:t>主要考查考生对导游服务规范及工作程序、文明旅游引导等方面的掌握程度和应用能力。</w:t>
      </w:r>
    </w:p>
    <w:p>
      <w:pPr>
        <w:overflowPunct w:val="0"/>
        <w:spacing w:line="560" w:lineRule="exact"/>
        <w:ind w:firstLine="640" w:firstLineChars="200"/>
        <w:rPr>
          <w:rFonts w:ascii="楷体_GB2312" w:eastAsia="楷体_GB2312"/>
          <w:color w:val="auto"/>
        </w:rPr>
      </w:pPr>
      <w:r>
        <w:rPr>
          <w:rFonts w:hint="eastAsia" w:ascii="楷体_GB2312" w:eastAsia="楷体_GB2312"/>
          <w:color w:val="auto"/>
        </w:rPr>
        <w:t>（五）应变能力知识</w:t>
      </w:r>
    </w:p>
    <w:p>
      <w:pPr>
        <w:overflowPunct w:val="0"/>
        <w:spacing w:line="560" w:lineRule="exact"/>
        <w:ind w:firstLine="640" w:firstLineChars="200"/>
        <w:rPr>
          <w:rFonts w:ascii="仿宋_GB2312"/>
          <w:color w:val="auto"/>
        </w:rPr>
      </w:pPr>
      <w:r>
        <w:rPr>
          <w:rFonts w:hint="eastAsia" w:ascii="仿宋_GB2312"/>
          <w:color w:val="auto"/>
        </w:rPr>
        <w:t>主要考查考生处理是否掌握旅游者特殊情况的处理技巧，是否掌握不同原因造成旅游活动计划变更时应采取的措施以及是否具有处理各种突发事件和旅游事故的能力。</w:t>
      </w:r>
    </w:p>
    <w:p>
      <w:pPr>
        <w:overflowPunct w:val="0"/>
        <w:spacing w:line="560" w:lineRule="exact"/>
        <w:ind w:firstLine="640" w:firstLineChars="200"/>
        <w:rPr>
          <w:rFonts w:ascii="楷体_GB2312" w:eastAsia="楷体_GB2312"/>
          <w:color w:val="auto"/>
        </w:rPr>
      </w:pPr>
      <w:r>
        <w:rPr>
          <w:rFonts w:hint="eastAsia" w:ascii="楷体_GB2312" w:eastAsia="楷体_GB2312"/>
          <w:color w:val="auto"/>
        </w:rPr>
        <w:t>（六）综合知识</w:t>
      </w:r>
    </w:p>
    <w:p>
      <w:pPr>
        <w:overflowPunct w:val="0"/>
        <w:spacing w:line="560" w:lineRule="exact"/>
        <w:ind w:firstLine="640" w:firstLineChars="200"/>
        <w:rPr>
          <w:rFonts w:ascii="仿宋_GB2312"/>
          <w:color w:val="auto"/>
        </w:rPr>
      </w:pPr>
      <w:r>
        <w:rPr>
          <w:rFonts w:hint="eastAsia" w:ascii="仿宋_GB2312"/>
          <w:color w:val="auto"/>
        </w:rPr>
        <w:t>主要考查考生对四川地区的历史沿革、传统文化、民俗生活、非物质文化遗产、红色文化以及主要景点知识的掌握程度，考查考生对四川地区时政、经济、文化、社会发展等方面的综合知识的了解。</w:t>
      </w:r>
    </w:p>
    <w:p>
      <w:pPr>
        <w:overflowPunct w:val="0"/>
        <w:spacing w:line="560" w:lineRule="exact"/>
        <w:ind w:firstLine="640" w:firstLineChars="200"/>
        <w:rPr>
          <w:rFonts w:ascii="楷体_GB2312" w:eastAsia="楷体_GB2312"/>
          <w:color w:val="auto"/>
        </w:rPr>
      </w:pPr>
      <w:r>
        <w:rPr>
          <w:rFonts w:hint="eastAsia" w:ascii="楷体_GB2312" w:eastAsia="楷体_GB2312"/>
          <w:color w:val="auto"/>
        </w:rPr>
        <w:t>（七）口译（外语类考生）</w:t>
      </w:r>
    </w:p>
    <w:p>
      <w:pPr>
        <w:overflowPunct w:val="0"/>
        <w:spacing w:line="560" w:lineRule="exact"/>
        <w:ind w:firstLine="640" w:firstLineChars="200"/>
        <w:rPr>
          <w:rFonts w:ascii="仿宋_GB2312"/>
          <w:color w:val="auto"/>
        </w:rPr>
      </w:pPr>
      <w:r>
        <w:rPr>
          <w:rFonts w:hint="eastAsia" w:ascii="仿宋_GB2312"/>
          <w:color w:val="auto"/>
        </w:rPr>
        <w:t>主要考查外语类考生在中文和外语之间口头互译的能力。</w:t>
      </w:r>
    </w:p>
    <w:p>
      <w:pPr>
        <w:overflowPunct w:val="0"/>
        <w:spacing w:line="560" w:lineRule="exact"/>
        <w:ind w:firstLine="640" w:firstLineChars="200"/>
        <w:rPr>
          <w:rFonts w:ascii="黑体" w:hAnsi="黑体" w:eastAsia="黑体"/>
          <w:color w:val="auto"/>
        </w:rPr>
      </w:pPr>
      <w:r>
        <w:rPr>
          <w:rFonts w:hint="eastAsia" w:ascii="黑体" w:hAnsi="黑体" w:eastAsia="黑体"/>
          <w:color w:val="auto"/>
        </w:rPr>
        <w:t>四、考试形式</w:t>
      </w:r>
    </w:p>
    <w:p>
      <w:pPr>
        <w:overflowPunct w:val="0"/>
        <w:spacing w:line="560" w:lineRule="exact"/>
        <w:ind w:firstLine="640" w:firstLineChars="200"/>
      </w:pPr>
      <w:r>
        <w:rPr>
          <w:rFonts w:hint="eastAsia"/>
        </w:rPr>
        <w:t>科目五《导游服务能力》的考试，以计算机人机作答的方式对考生进行现场考试，考查考生应具备的导游服务基本能力和素质要求。</w:t>
      </w:r>
    </w:p>
    <w:p>
      <w:pPr>
        <w:overflowPunct w:val="0"/>
        <w:spacing w:line="560" w:lineRule="exact"/>
        <w:ind w:firstLine="640" w:firstLineChars="200"/>
        <w:rPr>
          <w:rFonts w:ascii="黑体" w:hAnsi="黑体" w:eastAsia="黑体"/>
          <w:color w:val="auto"/>
        </w:rPr>
      </w:pPr>
      <w:r>
        <w:rPr>
          <w:rFonts w:hint="eastAsia" w:ascii="黑体" w:hAnsi="黑体" w:eastAsia="黑体"/>
          <w:color w:val="auto"/>
        </w:rPr>
        <w:t>五、考试语种</w:t>
      </w:r>
    </w:p>
    <w:p>
      <w:pPr>
        <w:overflowPunct w:val="0"/>
        <w:spacing w:line="560" w:lineRule="exact"/>
        <w:ind w:firstLine="640" w:firstLineChars="200"/>
        <w:rPr>
          <w:rFonts w:ascii="仿宋_GB2312"/>
          <w:color w:val="auto"/>
        </w:rPr>
      </w:pPr>
      <w:r>
        <w:t>考试语种包括：中文、英语、日语、德语、法语、泰语、朝鲜语、俄语。</w:t>
      </w:r>
    </w:p>
    <w:sectPr>
      <w:headerReference r:id="rId4" w:type="first"/>
      <w:footerReference r:id="rId7" w:type="first"/>
      <w:footerReference r:id="rId5" w:type="default"/>
      <w:headerReference r:id="rId3" w:type="even"/>
      <w:footerReference r:id="rId6"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B1CFDA"/>
    <w:multiLevelType w:val="singleLevel"/>
    <w:tmpl w:val="5AB1CFDA"/>
    <w:lvl w:ilvl="0" w:tentative="0">
      <w:start w:val="1"/>
      <w:numFmt w:val="chineseCounting"/>
      <w:suff w:val="nothing"/>
      <w:lvlText w:val="（%1）"/>
      <w:lvlJc w:val="left"/>
      <w:rPr>
        <w:rFonts w:hint="eastAsia" w:ascii="楷体_GB2312" w:eastAsia="楷体_GB2312"/>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2171"/>
    <w:rsid w:val="00046D3A"/>
    <w:rsid w:val="0008291B"/>
    <w:rsid w:val="000A2150"/>
    <w:rsid w:val="000A3E42"/>
    <w:rsid w:val="001A185D"/>
    <w:rsid w:val="001E2536"/>
    <w:rsid w:val="0024372D"/>
    <w:rsid w:val="00256803"/>
    <w:rsid w:val="00256E37"/>
    <w:rsid w:val="002810E5"/>
    <w:rsid w:val="002B58E1"/>
    <w:rsid w:val="0032379E"/>
    <w:rsid w:val="00351ACD"/>
    <w:rsid w:val="00360261"/>
    <w:rsid w:val="003837E2"/>
    <w:rsid w:val="00422231"/>
    <w:rsid w:val="004829EA"/>
    <w:rsid w:val="004F5F25"/>
    <w:rsid w:val="00556762"/>
    <w:rsid w:val="00565FCB"/>
    <w:rsid w:val="0059439D"/>
    <w:rsid w:val="005F5A0E"/>
    <w:rsid w:val="0069581A"/>
    <w:rsid w:val="006F6172"/>
    <w:rsid w:val="00810309"/>
    <w:rsid w:val="008F5D26"/>
    <w:rsid w:val="00932ECE"/>
    <w:rsid w:val="00973654"/>
    <w:rsid w:val="0099418F"/>
    <w:rsid w:val="0099566B"/>
    <w:rsid w:val="009F0984"/>
    <w:rsid w:val="00A045AC"/>
    <w:rsid w:val="00A54D17"/>
    <w:rsid w:val="00A878F8"/>
    <w:rsid w:val="00AB605E"/>
    <w:rsid w:val="00AD47A2"/>
    <w:rsid w:val="00B17AE0"/>
    <w:rsid w:val="00C332E7"/>
    <w:rsid w:val="00C4056E"/>
    <w:rsid w:val="00C407E2"/>
    <w:rsid w:val="00C73B55"/>
    <w:rsid w:val="00CD72BF"/>
    <w:rsid w:val="00D25438"/>
    <w:rsid w:val="00D92171"/>
    <w:rsid w:val="00DC646B"/>
    <w:rsid w:val="00E71A72"/>
    <w:rsid w:val="00E92410"/>
    <w:rsid w:val="00F20C5F"/>
    <w:rsid w:val="27E41B0E"/>
    <w:rsid w:val="79EA27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